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43" w:rsidRPr="00C26FE9" w:rsidRDefault="00783243" w:rsidP="00C26FE9">
      <w:pPr>
        <w:shd w:val="clear" w:color="auto" w:fill="FFFFFF"/>
        <w:spacing w:after="0" w:line="420" w:lineRule="atLeast"/>
        <w:ind w:right="283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Консультация для родителей «О правах ребенка дошкольника»</w:t>
      </w:r>
    </w:p>
    <w:p w:rsidR="00783243" w:rsidRPr="00C26FE9" w:rsidRDefault="00C26FE9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                       </w:t>
      </w:r>
      <w:r w:rsidR="00783243" w:rsidRPr="00C26F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Уважаемые родители!</w:t>
      </w:r>
      <w:bookmarkStart w:id="0" w:name="_GoBack"/>
      <w:bookmarkEnd w:id="0"/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Мы хотим затронуть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Дошкольное детство — уникальный период в жизни человека, в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К </w:t>
      </w:r>
      <w:proofErr w:type="gramStart"/>
      <w:r w:rsidRPr="00C26F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основным международным документам, касающимся прав детей относятся</w:t>
      </w:r>
      <w:proofErr w:type="gramEnd"/>
      <w:r w:rsidRPr="00C26F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: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Декларация прав ребенка (1959);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Конвенция ООН о правах ребенка (1989);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Всемирная декларация об обеспечении выживания, защиты и развития детей (1990).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Декларация прав ребенка является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Особое внимание в Декларации уделяется защите ребенка. На основе Декларации прав ребенка был разработан международный документ –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Конвенция о правах ребенка.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на воспитание;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на развитие;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на защиту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Конвенция о правах ребенка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«Защита прав детей начинается с соблюдения основных положений Конвенции о правах ребенка» (А. Жаров – уполномоченный по правам ребенка в Московской области):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Право на сохранение своей индивидуальности (статья 8). Каждый ребенок единственный в своем роде; со всеми своими особенностями внешности, характера, именем, семейными связями, мечтами и стремлениями.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Право на защиту от физического или психологического насилия, оскорбления, грубого или небрежного обращения (статья 19).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  <w:r w:rsidRPr="00C26FE9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34B9E0F4" wp14:editId="59F7C25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Нарушением прав ребенка можно считать: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лишение свободы движения,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</w:t>
      </w: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неисполнение обязанностей по воспитанию несовершеннолетнего),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применение физического насилия к ребенку,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  <w:proofErr w:type="gramEnd"/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угрозы в адрес ребенка,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ложь и невыполнение взрослыми своих обещаний,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отсутствие элементарной заботы о ребенке, пренебрежение его нуждами,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отсутствие нормального питания, одежды, жилья, образо</w:t>
      </w: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oftHyphen/>
        <w:t>вания, медицинской помощи.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Мы хотим подробнее остановиться на таком праве ребенка дошкольного возраста, как право на игру.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</w:t>
      </w: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oftHyphen/>
        <w:t>ствлению указанного права», — утверждает Декларация прав ребенка.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Д.Б. </w:t>
      </w:r>
      <w:proofErr w:type="spellStart"/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Эльконин</w:t>
      </w:r>
      <w:proofErr w:type="spellEnd"/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каким</w:t>
      </w:r>
      <w:proofErr w:type="gramEnd"/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мы хотим вырастить своего </w:t>
      </w: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783243" w:rsidRPr="00C26FE9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Призываем Вас изъять те игрушки, которые способствуют разви</w:t>
      </w: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76085F" w:rsidRPr="00783243" w:rsidRDefault="00783243" w:rsidP="00C26FE9">
      <w:pPr>
        <w:shd w:val="clear" w:color="auto" w:fill="FFFFFF"/>
        <w:spacing w:after="0" w:line="330" w:lineRule="atLeast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FE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</w:t>
      </w:r>
      <w:r w:rsidRPr="00783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сада</w:t>
      </w:r>
    </w:p>
    <w:sectPr w:rsidR="0076085F" w:rsidRPr="0078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243"/>
    <w:rsid w:val="0076085F"/>
    <w:rsid w:val="00783243"/>
    <w:rsid w:val="00C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2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32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1288</Words>
  <Characters>7342</Characters>
  <Application>Microsoft Office Word</Application>
  <DocSecurity>0</DocSecurity>
  <Lines>61</Lines>
  <Paragraphs>17</Paragraphs>
  <ScaleCrop>false</ScaleCrop>
  <Company>Microsoft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юля-пилюля</dc:creator>
  <cp:keywords/>
  <dc:description/>
  <cp:lastModifiedBy>USER</cp:lastModifiedBy>
  <cp:revision>3</cp:revision>
  <dcterms:created xsi:type="dcterms:W3CDTF">2021-11-22T17:04:00Z</dcterms:created>
  <dcterms:modified xsi:type="dcterms:W3CDTF">2024-11-11T05:57:00Z</dcterms:modified>
</cp:coreProperties>
</file>